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84" w:rsidRPr="001E3864" w:rsidRDefault="007E6E84" w:rsidP="007E6E84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53A5">
        <w:rPr>
          <w:rFonts w:ascii="Times New Roman" w:hAnsi="Times New Roman" w:cs="Times New Roman"/>
          <w:b/>
          <w:sz w:val="32"/>
          <w:szCs w:val="32"/>
          <w:u w:val="single"/>
        </w:rPr>
        <w:t>OVERVIEW</w:t>
      </w:r>
    </w:p>
    <w:p w:rsidR="007E6E84" w:rsidRDefault="007E6E84" w:rsidP="007E6E84">
      <w:pPr>
        <w:rPr>
          <w:rFonts w:ascii="Times New Roman" w:hAnsi="Times New Roman" w:cs="Times New Roman"/>
          <w:sz w:val="28"/>
          <w:szCs w:val="28"/>
        </w:rPr>
      </w:pPr>
    </w:p>
    <w:p w:rsidR="007E6E84" w:rsidRDefault="007E6E84" w:rsidP="007E6E84">
      <w:pPr>
        <w:rPr>
          <w:rFonts w:ascii="Times New Roman" w:hAnsi="Times New Roman" w:cs="Times New Roman"/>
          <w:sz w:val="28"/>
          <w:szCs w:val="28"/>
        </w:rPr>
      </w:pPr>
      <w:r w:rsidRPr="001E3864">
        <w:rPr>
          <w:rFonts w:ascii="Times New Roman" w:hAnsi="Times New Roman" w:cs="Times New Roman"/>
          <w:sz w:val="28"/>
          <w:szCs w:val="28"/>
        </w:rPr>
        <w:t xml:space="preserve">Trussville Gas and Water system currently samples for Lead and Copper on a reduced monitoring schedule of every three years as required by the Environmental Protection Agency (EPA) Lead and Copper Rule and Alabama Department of Environmental Management (ADEM) regulations 335-11-7-.06 and 335-11-7-.07. </w:t>
      </w:r>
    </w:p>
    <w:p w:rsidR="007E6E84" w:rsidRPr="001E3864" w:rsidRDefault="007E6E84" w:rsidP="007E6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E3864">
        <w:rPr>
          <w:rFonts w:ascii="Times New Roman" w:hAnsi="Times New Roman" w:cs="Times New Roman"/>
          <w:sz w:val="28"/>
          <w:szCs w:val="28"/>
        </w:rPr>
        <w:t xml:space="preserve">urrently </w:t>
      </w:r>
      <w:r>
        <w:rPr>
          <w:rFonts w:ascii="Times New Roman" w:hAnsi="Times New Roman" w:cs="Times New Roman"/>
          <w:sz w:val="28"/>
          <w:szCs w:val="28"/>
        </w:rPr>
        <w:t>30 (Tier 1) sample locations within the water system</w:t>
      </w:r>
      <w:r w:rsidRPr="001E3864">
        <w:rPr>
          <w:rFonts w:ascii="Times New Roman" w:hAnsi="Times New Roman" w:cs="Times New Roman"/>
          <w:sz w:val="28"/>
          <w:szCs w:val="28"/>
        </w:rPr>
        <w:t xml:space="preserve"> have been selected based on certain criteria set by ADEM and EPA regulations. Attached is a list of 30 (Tier 1) primary sites and 10 (Tier 1) alternate sites that will be used for collection of the samples. </w:t>
      </w:r>
    </w:p>
    <w:p w:rsidR="007E6E84" w:rsidRPr="001E3864" w:rsidRDefault="007E6E84" w:rsidP="007E6E84">
      <w:pPr>
        <w:rPr>
          <w:rFonts w:ascii="Times New Roman" w:hAnsi="Times New Roman" w:cs="Times New Roman"/>
          <w:sz w:val="28"/>
          <w:szCs w:val="28"/>
        </w:rPr>
      </w:pPr>
      <w:r w:rsidRPr="001E3864">
        <w:rPr>
          <w:rFonts w:ascii="Times New Roman" w:hAnsi="Times New Roman" w:cs="Times New Roman"/>
          <w:sz w:val="28"/>
          <w:szCs w:val="28"/>
        </w:rPr>
        <w:t>Due to an increase in security measures, the sites listed within this collection area contain no homeowner names just addresses within the water system.</w:t>
      </w:r>
    </w:p>
    <w:p w:rsidR="0089363A" w:rsidRDefault="0089363A"/>
    <w:sectPr w:rsidR="0089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4"/>
    <w:rsid w:val="007E6E84"/>
    <w:rsid w:val="0089363A"/>
    <w:rsid w:val="00BC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6C27-EDC3-4649-AAC4-48983DD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Long</dc:creator>
  <cp:keywords/>
  <dc:description/>
  <cp:lastModifiedBy>Alan Long</cp:lastModifiedBy>
  <cp:revision>1</cp:revision>
  <dcterms:created xsi:type="dcterms:W3CDTF">2020-04-03T13:55:00Z</dcterms:created>
  <dcterms:modified xsi:type="dcterms:W3CDTF">2020-04-03T13:56:00Z</dcterms:modified>
</cp:coreProperties>
</file>